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20" w:lineRule="atLeast"/>
        <w:jc w:val="left"/>
        <w:rPr>
          <w:rFonts w:ascii="方正小标宋简体" w:hAnsi="宋体" w:eastAsia="方正小标宋简体"/>
          <w:sz w:val="32"/>
          <w:szCs w:val="36"/>
        </w:rPr>
      </w:pPr>
      <w:r>
        <w:rPr>
          <w:rFonts w:hint="eastAsia" w:ascii="方正小标宋简体" w:hAnsi="宋体" w:eastAsia="方正小标宋简体"/>
          <w:sz w:val="32"/>
          <w:szCs w:val="36"/>
        </w:rPr>
        <w:t>附件6</w:t>
      </w:r>
      <w:r>
        <w:rPr>
          <w:rFonts w:ascii="方正小标宋简体" w:hAnsi="宋体" w:eastAsia="方正小标宋简体"/>
          <w:sz w:val="32"/>
          <w:szCs w:val="36"/>
        </w:rPr>
        <w:t xml:space="preserve"> </w:t>
      </w:r>
      <w:bookmarkStart w:id="0" w:name="_GoBack"/>
      <w:bookmarkEnd w:id="0"/>
      <w:r>
        <w:rPr>
          <w:rFonts w:ascii="方正小标宋简体" w:hAnsi="宋体" w:eastAsia="方正小标宋简体"/>
          <w:sz w:val="32"/>
          <w:szCs w:val="36"/>
        </w:rPr>
        <w:t xml:space="preserve"> </w:t>
      </w:r>
      <w:r>
        <w:rPr>
          <w:rFonts w:hint="eastAsia" w:ascii="方正小标宋简体" w:hAnsi="宋体" w:eastAsia="方正小标宋简体"/>
          <w:sz w:val="32"/>
          <w:szCs w:val="36"/>
        </w:rPr>
        <w:t>百强技术评价标准</w:t>
      </w:r>
    </w:p>
    <w:p>
      <w:pPr>
        <w:adjustRightInd w:val="0"/>
        <w:snapToGrid w:val="0"/>
        <w:spacing w:line="379" w:lineRule="auto"/>
        <w:ind w:firstLine="691" w:firstLineChars="192"/>
        <w:jc w:val="center"/>
        <w:rPr>
          <w:rFonts w:ascii="方正小标宋简体" w:hAnsi="黑体" w:eastAsia="方正小标宋简体"/>
          <w:sz w:val="36"/>
          <w:szCs w:val="28"/>
        </w:rPr>
      </w:pPr>
      <w:r>
        <w:rPr>
          <w:rFonts w:hint="eastAsia" w:ascii="方正小标宋简体" w:hAnsi="黑体" w:eastAsia="方正小标宋简体"/>
          <w:sz w:val="36"/>
          <w:szCs w:val="28"/>
        </w:rPr>
        <w:t>大气污染防治技术评价标准</w:t>
      </w:r>
    </w:p>
    <w:tbl>
      <w:tblPr>
        <w:tblStyle w:val="3"/>
        <w:tblW w:w="79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1807"/>
        <w:gridCol w:w="486"/>
        <w:gridCol w:w="5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序号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指　标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满分</w:t>
            </w:r>
          </w:p>
        </w:tc>
        <w:tc>
          <w:tcPr>
            <w:tcW w:w="5188" w:type="dxa"/>
            <w:vAlign w:val="center"/>
          </w:tcPr>
          <w:p>
            <w:pPr>
              <w:jc w:val="center"/>
              <w:rPr>
                <w:rFonts w:cs="宋体"/>
                <w:b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工艺流程的合理性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518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流程简短且完整，单元组合优化程度高，工艺设计合理。严重不合理的判为零分。</w:t>
            </w:r>
          </w:p>
          <w:p>
            <w:pPr>
              <w:rPr>
                <w:rFonts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2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技术适用性和有效性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18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技术适合治理特定行业污染的要求，可有效去除特征污染物。基本不适用的判为零分。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3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技术创新性和先进性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15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整体或局部具有科技创新性，创新点达到国际先进水平。属于落后或淘汰的技术判定为零分。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4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污染物减排效果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8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对特征污染物具有较好的去除效果，可稳定达标，与同类技术相比较去除总量更高。效果不明显的判为零分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二次污染的控制效果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3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污染治理过程中，不因物质的相变或添加而发生潜在污染物的转移或扩散。存在二次污染的判为零分。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6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解决行业污染的作用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6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可从整体上完全解决行业污染重要问题，在行业污染治理中可以发挥关键性的作用。基本没有作用的判为零分。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技术成熟度和实用性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10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技术成果的产业化程度高，有较为普遍的工程应用，工程实践证明其实用性强。没有工程实际应用的判为零分。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8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经济合理性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8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在可比基础上，单位综合造价和运行成本（费）相对较低，技术应用具备经济合理性。严重背离市场行情的判为零分。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9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资源能源节约性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应用技术建设占地省、设施运行消耗物料少、耗能低，污染治理过程中可实现资源与能源的回收或再利用。严重不具资源能源节约型的判为零分。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10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设施运行稳定性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设施运行中可以稳定达到工况，实现既定的参数，波动性小，不易产生故障。无法稳定运行的判为零分。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11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设施操作简便性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设施运行的自动化控制水平高，操作简单和方便，便于控制。运行操作过于复杂且难于控制的判为零分。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12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市场需求度和前景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技术的市场需求度较高，拥有良好的市场应用前景，属于近一时期市场亟需的技术。没有市场应用前景的判为零分。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13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技术的推广情况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9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该技术已经得到较好的推广应用，且持有者的推广策略有效和推广能力较强。不能做到有效推广的判为零分。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exac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14</w:t>
            </w: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依托单位综合实力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技术依托（持有）单位属于大中型企业或上市公司，或拥有较强的技术研发、市场销售、生产制造、工程实施，以及内部管理的综合能力。不具基本能力的判为零分。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45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</w:p>
        </w:tc>
        <w:tc>
          <w:tcPr>
            <w:tcW w:w="1807" w:type="dxa"/>
            <w:vAlign w:val="center"/>
          </w:tcPr>
          <w:p>
            <w:pPr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满分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100</w:t>
            </w:r>
          </w:p>
        </w:tc>
        <w:tc>
          <w:tcPr>
            <w:tcW w:w="5188" w:type="dxa"/>
            <w:vAlign w:val="center"/>
          </w:tcPr>
          <w:p>
            <w:pPr>
              <w:jc w:val="left"/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按评审专家的打分累加，并取平均值。各项技术按分数排序。</w:t>
            </w:r>
          </w:p>
        </w:tc>
      </w:tr>
    </w:tbl>
    <w:p>
      <w:pPr>
        <w:rPr>
          <w:rFonts w:ascii="黑体" w:hAnsi="宋体" w:eastAsia="黑体"/>
          <w:sz w:val="24"/>
          <w:szCs w:val="24"/>
        </w:rPr>
      </w:pPr>
    </w:p>
    <w:p>
      <w:pPr>
        <w:adjustRightInd w:val="0"/>
        <w:snapToGrid w:val="0"/>
        <w:spacing w:line="379" w:lineRule="auto"/>
        <w:ind w:firstLine="403" w:firstLineChars="192"/>
        <w:jc w:val="center"/>
        <w:rPr>
          <w:szCs w:val="24"/>
        </w:rPr>
      </w:pPr>
    </w:p>
    <w:p>
      <w:pPr>
        <w:widowControl/>
        <w:jc w:val="left"/>
        <w:rPr>
          <w:szCs w:val="24"/>
        </w:rPr>
      </w:pPr>
    </w:p>
    <w:p>
      <w:pPr>
        <w:widowControl/>
        <w:jc w:val="left"/>
        <w:rPr>
          <w:szCs w:val="24"/>
        </w:rPr>
      </w:pPr>
    </w:p>
    <w:p>
      <w:pPr>
        <w:widowControl/>
        <w:jc w:val="left"/>
        <w:rPr>
          <w:szCs w:val="24"/>
        </w:rPr>
      </w:pPr>
    </w:p>
    <w:p>
      <w:pPr>
        <w:widowControl/>
        <w:jc w:val="left"/>
        <w:rPr>
          <w:szCs w:val="24"/>
        </w:rPr>
      </w:pPr>
    </w:p>
    <w:p>
      <w:pPr>
        <w:widowControl/>
        <w:jc w:val="left"/>
        <w:rPr>
          <w:szCs w:val="24"/>
        </w:rPr>
      </w:pPr>
    </w:p>
    <w:p>
      <w:pPr>
        <w:widowControl/>
        <w:jc w:val="left"/>
        <w:rPr>
          <w:szCs w:val="24"/>
        </w:rPr>
      </w:pPr>
    </w:p>
    <w:p>
      <w:pPr>
        <w:adjustRightInd w:val="0"/>
        <w:snapToGrid w:val="0"/>
        <w:spacing w:line="379" w:lineRule="auto"/>
        <w:ind w:firstLine="691" w:firstLineChars="192"/>
        <w:jc w:val="center"/>
        <w:rPr>
          <w:rFonts w:ascii="黑体" w:hAnsi="黑体" w:eastAsia="黑体"/>
          <w:sz w:val="36"/>
          <w:szCs w:val="28"/>
        </w:rPr>
      </w:pPr>
      <w:r>
        <w:rPr>
          <w:rFonts w:hint="eastAsia" w:ascii="黑体" w:hAnsi="黑体" w:eastAsia="黑体"/>
          <w:sz w:val="36"/>
          <w:szCs w:val="28"/>
        </w:rPr>
        <w:t>水污染防治技术评价标准</w:t>
      </w:r>
    </w:p>
    <w:tbl>
      <w:tblPr>
        <w:tblStyle w:val="3"/>
        <w:tblW w:w="79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1880"/>
        <w:gridCol w:w="737"/>
        <w:gridCol w:w="47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序号</w:t>
            </w:r>
          </w:p>
        </w:tc>
        <w:tc>
          <w:tcPr>
            <w:tcW w:w="1880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指　标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满分</w:t>
            </w:r>
          </w:p>
        </w:tc>
        <w:tc>
          <w:tcPr>
            <w:tcW w:w="4782" w:type="dxa"/>
            <w:vAlign w:val="center"/>
          </w:tcPr>
          <w:p>
            <w:pPr>
              <w:jc w:val="center"/>
              <w:rPr>
                <w:rFonts w:cs="宋体"/>
                <w:b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工艺流程的合理性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流程简短且完整，单元组合优化程度高，工艺设计合理。严重不合理的判为零分。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2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技术适用性和有效性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4782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技术适合治理特定行业污染的要求，可有效去除特征污染物。基本不适用的判为零分。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3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技术创新性和先进性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15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整体或局部具有科技创新性，创新点达到国际先进水平。属于落后或淘汰的技术判定为零分。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4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污染物减排效果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8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对特征污染物具有较好的去除效果，可稳定达标，与同类技术相比较去除总量更高。效果不明显的判为零分。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二次污染的控制效果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污染治理过程中，不因物质的相变或添加而发生潜在的污染物的转移或扩散。存在二次污染的判为零分。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6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解决行业污染的作用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6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可从整体上解决行业污染重要问题，在行业污染治理中可以发挥关键性的作用。基本没有作用的判为零分。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技术成熟度和实用性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10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技术成果的产业化程度高，有较为普遍的工程应用，工程实践证明其实用性强。没有工程实际应用的判为零分。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8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经济合理性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8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在可比基础上，单位综合造价和运行成本（费）相对较低，技术应用具备经济合理性。严重背离市场行情的判为零分。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9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资源能源节约性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应用技术建设占地省、设施运行消耗物料少、耗能低，污染治理过程中可实现资源与能源的回收或再利用。严重不具资源能源节约型的判为零分。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10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设施运行稳定性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设施运行中可以稳定达到工况，实现既定的参数，波动性小，不易产生故障。无法稳定运行的判为零分。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11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设施操作简便性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设施运行的自动化控制水平高，操作简单和方便，便于控制。运行操作过于复杂且难于控制的判为零分。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12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市场需求度和前景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技术的市场需求度较高，拥有良好的市场应用前景，属于近一时期市场亟需的技术。没有市场应用前景的判为零分。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13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技术的推广情况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9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该技术已经得到较好的推广应用，且持有者的推广策略有效和推广能力较强。不能做到有效推广的判为零分。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exac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14</w:t>
            </w: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依托单位综合实力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技术依托（持有）单位属于大中型企业或上市公司，或拥有较强的技术研发、市场销售、生产制造、工程实施以及内部管理的综合能力。不具基本能力的判为零分。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53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</w:p>
        </w:tc>
        <w:tc>
          <w:tcPr>
            <w:tcW w:w="1880" w:type="dxa"/>
            <w:vAlign w:val="center"/>
          </w:tcPr>
          <w:p>
            <w:pPr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满分</w:t>
            </w:r>
          </w:p>
        </w:tc>
        <w:tc>
          <w:tcPr>
            <w:tcW w:w="737" w:type="dxa"/>
            <w:vAlign w:val="center"/>
          </w:tcPr>
          <w:p>
            <w:pPr>
              <w:jc w:val="center"/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100</w:t>
            </w:r>
          </w:p>
        </w:tc>
        <w:tc>
          <w:tcPr>
            <w:tcW w:w="4782" w:type="dxa"/>
            <w:vAlign w:val="center"/>
          </w:tcPr>
          <w:p>
            <w:pPr>
              <w:jc w:val="left"/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按评审专家的打分累加，并取平均值。各项技术按分数排序。</w:t>
            </w:r>
          </w:p>
        </w:tc>
      </w:tr>
    </w:tbl>
    <w:p>
      <w:pPr>
        <w:jc w:val="left"/>
        <w:rPr>
          <w:szCs w:val="24"/>
        </w:rPr>
      </w:pPr>
    </w:p>
    <w:p>
      <w:pPr>
        <w:jc w:val="left"/>
        <w:rPr>
          <w:szCs w:val="24"/>
        </w:rPr>
      </w:pPr>
    </w:p>
    <w:p>
      <w:pPr>
        <w:jc w:val="left"/>
        <w:rPr>
          <w:szCs w:val="24"/>
        </w:rPr>
      </w:pPr>
    </w:p>
    <w:p>
      <w:pPr>
        <w:jc w:val="left"/>
        <w:rPr>
          <w:szCs w:val="24"/>
        </w:rPr>
      </w:pPr>
    </w:p>
    <w:p>
      <w:pPr>
        <w:jc w:val="left"/>
        <w:rPr>
          <w:szCs w:val="24"/>
        </w:rPr>
      </w:pPr>
    </w:p>
    <w:p>
      <w:pPr>
        <w:jc w:val="left"/>
        <w:rPr>
          <w:szCs w:val="24"/>
        </w:rPr>
      </w:pPr>
    </w:p>
    <w:p>
      <w:pPr>
        <w:jc w:val="left"/>
        <w:rPr>
          <w:szCs w:val="24"/>
        </w:rPr>
      </w:pPr>
    </w:p>
    <w:p>
      <w:pPr>
        <w:jc w:val="left"/>
        <w:rPr>
          <w:szCs w:val="24"/>
        </w:rPr>
      </w:pPr>
    </w:p>
    <w:p>
      <w:pPr>
        <w:jc w:val="left"/>
        <w:rPr>
          <w:szCs w:val="24"/>
        </w:rPr>
      </w:pPr>
    </w:p>
    <w:p>
      <w:pPr>
        <w:adjustRightInd w:val="0"/>
        <w:snapToGrid w:val="0"/>
        <w:spacing w:line="379" w:lineRule="auto"/>
        <w:ind w:firstLine="691" w:firstLineChars="192"/>
        <w:jc w:val="center"/>
        <w:rPr>
          <w:rFonts w:ascii="方正小标宋简体" w:hAnsi="黑体" w:eastAsia="方正小标宋简体"/>
          <w:sz w:val="36"/>
          <w:szCs w:val="28"/>
        </w:rPr>
      </w:pPr>
      <w:r>
        <w:rPr>
          <w:rFonts w:hint="eastAsia" w:ascii="方正小标宋简体" w:hAnsi="黑体" w:eastAsia="方正小标宋简体"/>
          <w:sz w:val="36"/>
          <w:szCs w:val="28"/>
        </w:rPr>
        <w:t>土壤（含固废）污染防治技术评价标准</w:t>
      </w:r>
    </w:p>
    <w:tbl>
      <w:tblPr>
        <w:tblStyle w:val="3"/>
        <w:tblW w:w="79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9"/>
        <w:gridCol w:w="1438"/>
        <w:gridCol w:w="595"/>
        <w:gridCol w:w="53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序号</w:t>
            </w:r>
          </w:p>
        </w:tc>
        <w:tc>
          <w:tcPr>
            <w:tcW w:w="1438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指　标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满分</w:t>
            </w:r>
          </w:p>
        </w:tc>
        <w:tc>
          <w:tcPr>
            <w:tcW w:w="5386" w:type="dxa"/>
            <w:vAlign w:val="center"/>
          </w:tcPr>
          <w:p>
            <w:pPr>
              <w:jc w:val="center"/>
              <w:rPr>
                <w:rFonts w:cs="宋体"/>
                <w:b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技术创新性和先进性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15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整体或局部具有科技创新性，创新点达到国际先进水平。属于落后或淘汰的技术判定为零分。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2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技术成熟度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8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技术成果的产业化程度高，有较为普遍的工程应用，工程实践证明其实用性强。没有工程实际应用的判为零分。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3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设施运行稳定性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设施运行可以稳定达到工况，实现既定的参数，波动性小，不易产生故障。无法稳定运行的判为零分。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4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设施操作简便性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设施运行的自动化控制水平高，操作简单和方便，便于控制。运行操作过于复杂且难于控制的判为零分。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解决行业污染的作用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可从整体上完全解决行业污染重要问题，在行业污染治理中可以发挥关键性的作用。基本没有作用的判为零分。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6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治理效果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9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对特征污染物有较好的去除效果，与同类技术相比较去除总量更高。效果不明显的判为零分。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cs="宋体"/>
                <w:sz w:val="18"/>
                <w:szCs w:val="18"/>
              </w:rPr>
              <w:t>治理效果</w:t>
            </w:r>
            <w:r>
              <w:rPr>
                <w:rFonts w:hint="eastAsia" w:cs="宋体"/>
                <w:sz w:val="18"/>
                <w:szCs w:val="18"/>
              </w:rPr>
              <w:t>验证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9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对特征污染物治理效果稳定性达标的验证较充分，没有验证的判为零分。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8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残余风险/二次污染的控制效果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污染治理过程中，不因物质的相变或添加而发生潜在污染物的转移或扩散。存在残余风险或二次污染的判为零分。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9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经济合理性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8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在可比基础上，单位综合造价和运行成本（费）相对较低，技术应用具备经济合理性。严重背离市场行情的判为零分。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10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资源能源节约性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4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应用技术建设占地省、设施运行消耗物料少、耗能低，污染治理过程中可实现资源与能源的回收或再利用。严重不具资源能源节约型的判为零分。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11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用户</w:t>
            </w:r>
            <w:r>
              <w:rPr>
                <w:rFonts w:cs="宋体"/>
                <w:sz w:val="18"/>
                <w:szCs w:val="18"/>
              </w:rPr>
              <w:t>接受程度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cs="宋体"/>
                <w:sz w:val="18"/>
                <w:szCs w:val="18"/>
              </w:rPr>
              <w:t>治理技术得到</w:t>
            </w:r>
            <w:r>
              <w:rPr>
                <w:rFonts w:hint="eastAsia" w:cs="宋体"/>
                <w:sz w:val="18"/>
                <w:szCs w:val="18"/>
              </w:rPr>
              <w:t>用户</w:t>
            </w:r>
            <w:r>
              <w:rPr>
                <w:rFonts w:cs="宋体"/>
                <w:sz w:val="18"/>
                <w:szCs w:val="18"/>
              </w:rPr>
              <w:t>认可</w:t>
            </w:r>
            <w:r>
              <w:rPr>
                <w:rFonts w:hint="eastAsia" w:cs="宋体"/>
                <w:sz w:val="18"/>
                <w:szCs w:val="18"/>
              </w:rPr>
              <w:t>，用户有3家以上并得到积极评价，没有用户评价意见</w:t>
            </w:r>
            <w:r>
              <w:rPr>
                <w:rFonts w:cs="宋体"/>
                <w:sz w:val="18"/>
                <w:szCs w:val="18"/>
              </w:rPr>
              <w:t>判为零分</w:t>
            </w:r>
            <w:r>
              <w:rPr>
                <w:rFonts w:hint="eastAsia" w:cs="宋体"/>
                <w:sz w:val="18"/>
                <w:szCs w:val="18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12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公众接受程度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治理过程和治理后的效果得到公众认可。公众强烈反对的判为零分。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13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市场需求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技术的市场需求度较高，拥有良好的市场应用前景，属于近一时期市场亟需的技术。没有市场应用前景的判为零分。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14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技术的推广情况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该技术已经得到较好的推广应用，且持有者的推广策略有效和推广能力较强。不能做到有效推广的判为零分。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exac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15</w:t>
            </w:r>
          </w:p>
        </w:tc>
        <w:tc>
          <w:tcPr>
            <w:tcW w:w="1438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依托单位综合实力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技术依托（持有）单位属于大中型企业或上市公司，或拥有较强的技术研发、市场销售、生产制造、工程实施，以及内部管理的综合能力。不具基本能力的判为零分。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519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</w:p>
        </w:tc>
        <w:tc>
          <w:tcPr>
            <w:tcW w:w="1438" w:type="dxa"/>
            <w:vAlign w:val="center"/>
          </w:tcPr>
          <w:p>
            <w:pPr>
              <w:jc w:val="center"/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满分</w:t>
            </w:r>
          </w:p>
        </w:tc>
        <w:tc>
          <w:tcPr>
            <w:tcW w:w="595" w:type="dxa"/>
            <w:vAlign w:val="center"/>
          </w:tcPr>
          <w:p>
            <w:pPr>
              <w:jc w:val="center"/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100</w:t>
            </w:r>
          </w:p>
        </w:tc>
        <w:tc>
          <w:tcPr>
            <w:tcW w:w="5386" w:type="dxa"/>
            <w:vAlign w:val="center"/>
          </w:tcPr>
          <w:p>
            <w:pPr>
              <w:jc w:val="left"/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按评审专家的打分累加，并取平均值。各项技术按分数排序。</w:t>
            </w:r>
          </w:p>
        </w:tc>
      </w:tr>
    </w:tbl>
    <w:p>
      <w:pPr>
        <w:jc w:val="left"/>
        <w:rPr>
          <w:szCs w:val="24"/>
        </w:rPr>
      </w:pPr>
    </w:p>
    <w:p>
      <w:pPr>
        <w:widowControl/>
        <w:jc w:val="left"/>
        <w:rPr>
          <w:szCs w:val="24"/>
        </w:rPr>
      </w:pPr>
      <w:r>
        <w:rPr>
          <w:szCs w:val="24"/>
        </w:rPr>
        <w:br w:type="page"/>
      </w:r>
    </w:p>
    <w:p>
      <w:pPr>
        <w:jc w:val="left"/>
        <w:rPr>
          <w:szCs w:val="24"/>
        </w:rPr>
      </w:pPr>
    </w:p>
    <w:p>
      <w:pPr>
        <w:adjustRightInd w:val="0"/>
        <w:snapToGrid w:val="0"/>
        <w:spacing w:line="379" w:lineRule="auto"/>
        <w:ind w:firstLine="691" w:firstLineChars="192"/>
        <w:jc w:val="center"/>
        <w:rPr>
          <w:rFonts w:ascii="黑体" w:hAnsi="黑体" w:eastAsia="黑体"/>
          <w:sz w:val="36"/>
          <w:szCs w:val="28"/>
        </w:rPr>
      </w:pPr>
      <w:r>
        <w:rPr>
          <w:rFonts w:hint="eastAsia" w:ascii="黑体" w:hAnsi="黑体" w:eastAsia="黑体"/>
          <w:sz w:val="36"/>
          <w:szCs w:val="28"/>
        </w:rPr>
        <w:t>环境监测技术评价标准</w:t>
      </w:r>
    </w:p>
    <w:tbl>
      <w:tblPr>
        <w:tblStyle w:val="3"/>
        <w:tblW w:w="79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2160"/>
        <w:gridCol w:w="486"/>
        <w:gridCol w:w="46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序号</w:t>
            </w:r>
          </w:p>
        </w:tc>
        <w:tc>
          <w:tcPr>
            <w:tcW w:w="2160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指　标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b/>
                <w:sz w:val="24"/>
                <w:szCs w:val="24"/>
              </w:rPr>
              <w:t>满分</w:t>
            </w:r>
          </w:p>
        </w:tc>
        <w:tc>
          <w:tcPr>
            <w:tcW w:w="4611" w:type="dxa"/>
            <w:vAlign w:val="center"/>
          </w:tcPr>
          <w:p>
            <w:pPr>
              <w:jc w:val="center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工艺流程的合理性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4611" w:type="dxa"/>
            <w:vAlign w:val="center"/>
          </w:tcPr>
          <w:p>
            <w:pPr>
              <w:rPr>
                <w:rFonts w:cs="宋体"/>
                <w:color w:val="FF0000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流程简短且完整，单元组合优化程度高，工艺设计合理。严重不合理的判为零分。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2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技术适用性和有效性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4611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技术适合监测特定行业污染物的要求，可有效监测特征污染物。基本不适用的判为零分。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3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技术创新性和先进性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15</w:t>
            </w:r>
          </w:p>
        </w:tc>
        <w:tc>
          <w:tcPr>
            <w:tcW w:w="4611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整体或局部具有科技创新性，创新点达到国际先进水平。属于落后或淘汰的技术判定为零分。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4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监测技术（仪器）可靠性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4611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对特征污染物具有较好监测效果，可持续稳定达标，与同类技术（仪器）相比较可靠性更高。无法持续未定达标的判为零分。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5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解决领域重大技术关键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10</w:t>
            </w:r>
          </w:p>
        </w:tc>
        <w:tc>
          <w:tcPr>
            <w:tcW w:w="4611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可从整体上解决领域重大技术关键，在本领域监测技术进步中可以发挥关键性的作用。无解决重大技术关的作用判为零分。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6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技术成熟度和实用性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9</w:t>
            </w:r>
          </w:p>
        </w:tc>
        <w:tc>
          <w:tcPr>
            <w:tcW w:w="4611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技术成果的产业化程度高，有较为普遍的工程应用，工程实践证明其实用性强。没有工程实际应用的判为零分。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经济合理性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9</w:t>
            </w:r>
          </w:p>
        </w:tc>
        <w:tc>
          <w:tcPr>
            <w:tcW w:w="4611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在可比基础上，单位综合造价和运行成本（费）相对较低，技术应用具备经济合理性。严重背离市场行情的判为零分。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8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设施运行稳定性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4611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设施运行中可以稳定达到工况，实现既定的参数，波动性小，不易产生故障。无法稳定运行的判为零分。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9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设施操作简便性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7</w:t>
            </w:r>
          </w:p>
        </w:tc>
        <w:tc>
          <w:tcPr>
            <w:tcW w:w="4611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设施运行的自动化控制水平高，操作简单和方便，便于控制。运行操作过于复杂且难于控制的判为零分。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10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市场需求度和前景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6</w:t>
            </w:r>
          </w:p>
        </w:tc>
        <w:tc>
          <w:tcPr>
            <w:tcW w:w="4611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技术的市场需求度较高，拥有良好的市场应用前景，属于近一时期市场亟需的技术。没有市场应用前景的判为零分。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11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产品市场占有能力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6</w:t>
            </w:r>
          </w:p>
        </w:tc>
        <w:tc>
          <w:tcPr>
            <w:tcW w:w="4611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该技术已经得到较好的推广应用，且持有者的推广策略有效和推广能力较强。不能做到有效推广的判为零分。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exac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12</w:t>
            </w: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依托单位综合实力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10</w:t>
            </w:r>
          </w:p>
        </w:tc>
        <w:tc>
          <w:tcPr>
            <w:tcW w:w="4611" w:type="dxa"/>
            <w:vAlign w:val="center"/>
          </w:tcPr>
          <w:p>
            <w:pPr>
              <w:jc w:val="left"/>
              <w:rPr>
                <w:rFonts w:cs="宋体"/>
                <w:sz w:val="18"/>
                <w:szCs w:val="18"/>
              </w:rPr>
            </w:pPr>
            <w:r>
              <w:rPr>
                <w:rFonts w:hint="eastAsia" w:cs="宋体"/>
                <w:sz w:val="18"/>
                <w:szCs w:val="18"/>
              </w:rPr>
              <w:t>技术依托（持有）单位属于大中型企业或上市公司，或拥有较强的技术研发、市场销售、生产制造、工程实施以及内部管理的综合能力。不具基本能力的判为零分。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681" w:type="dxa"/>
            <w:vAlign w:val="center"/>
          </w:tcPr>
          <w:p>
            <w:pPr>
              <w:jc w:val="center"/>
              <w:rPr>
                <w:rFonts w:cs="宋体"/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>
            <w:pPr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满分</w:t>
            </w:r>
          </w:p>
        </w:tc>
        <w:tc>
          <w:tcPr>
            <w:tcW w:w="486" w:type="dxa"/>
            <w:vAlign w:val="center"/>
          </w:tcPr>
          <w:p>
            <w:pPr>
              <w:jc w:val="center"/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100</w:t>
            </w:r>
          </w:p>
        </w:tc>
        <w:tc>
          <w:tcPr>
            <w:tcW w:w="4611" w:type="dxa"/>
            <w:vAlign w:val="center"/>
          </w:tcPr>
          <w:p>
            <w:pPr>
              <w:jc w:val="left"/>
              <w:rPr>
                <w:rFonts w:cs="宋体"/>
                <w:b/>
                <w:sz w:val="18"/>
                <w:szCs w:val="18"/>
              </w:rPr>
            </w:pPr>
            <w:r>
              <w:rPr>
                <w:rFonts w:hint="eastAsia" w:cs="宋体"/>
                <w:b/>
                <w:sz w:val="18"/>
                <w:szCs w:val="18"/>
              </w:rPr>
              <w:t>按评审专家的打分累加，并取平均值。各项技术按分数排序。</w:t>
            </w:r>
          </w:p>
        </w:tc>
      </w:tr>
    </w:tbl>
    <w:p>
      <w:pPr>
        <w:jc w:val="left"/>
        <w:rPr>
          <w:szCs w:val="24"/>
        </w:rPr>
      </w:pPr>
    </w:p>
    <w:p/>
    <w:sectPr>
      <w:headerReference r:id="rId3" w:type="default"/>
      <w:pgSz w:w="11906" w:h="16838"/>
      <w:pgMar w:top="1077" w:right="1814" w:bottom="1077" w:left="1814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/>
      <w:spacing w:line="320" w:lineRule="exact"/>
      <w:jc w:val="center"/>
      <w:rPr>
        <w:rFonts w:ascii="宋体" w:hAnsi="宋体" w:cs="黑体"/>
        <w:b/>
        <w:sz w:val="32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0F09A7"/>
    <w:rsid w:val="2C364021"/>
    <w:rsid w:val="7A0F09A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2017-09-07T07:05:00Z</dcterms:created>
  <dc:creator>Administrator</dc:creator>
  <cp:lastModifiedBy>Administrator</cp:lastModifiedBy>
  <dcterms:modified xsi:type="dcterms:W3CDTF">2017-09-08T02:52:16Z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