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" w:hAnsi="仿宋" w:eastAsia="仿宋" w:cs="Times New Roman"/>
          <w:b/>
          <w:color w:val="auto"/>
          <w:kern w:val="2"/>
          <w:sz w:val="32"/>
          <w:szCs w:val="32"/>
        </w:rPr>
      </w:pPr>
      <w:r>
        <w:rPr>
          <w:rFonts w:hint="eastAsia" w:ascii="仿宋" w:hAnsi="仿宋" w:eastAsia="仿宋" w:cs="Times New Roman"/>
          <w:b/>
          <w:color w:val="auto"/>
          <w:kern w:val="2"/>
          <w:sz w:val="32"/>
          <w:szCs w:val="32"/>
        </w:rPr>
        <w:t>附件1：</w:t>
      </w:r>
    </w:p>
    <w:p>
      <w:pPr>
        <w:pStyle w:val="4"/>
        <w:rPr>
          <w:rFonts w:hint="eastAsia" w:ascii="仿宋" w:hAnsi="仿宋" w:eastAsia="仿宋"/>
          <w:b/>
          <w:color w:val="auto"/>
          <w:sz w:val="32"/>
          <w:szCs w:val="32"/>
        </w:rPr>
      </w:pPr>
      <w:r>
        <w:rPr>
          <w:rFonts w:hint="eastAsia" w:ascii="仿宋" w:hAnsi="仿宋" w:eastAsia="仿宋"/>
          <w:b/>
          <w:color w:val="auto"/>
          <w:sz w:val="32"/>
          <w:szCs w:val="32"/>
        </w:rPr>
        <w:t>课程体系（内容）</w:t>
      </w:r>
    </w:p>
    <w:p>
      <w:pPr>
        <w:pStyle w:val="4"/>
        <w:tabs>
          <w:tab w:val="left" w:pos="1134"/>
          <w:tab w:val="left" w:pos="1276"/>
        </w:tabs>
        <w:ind w:firstLine="640" w:firstLineChars="2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本（系列）培训课程体系设计秉承“专业、务实”的原则；第八期培训内容包含，并不限于以下内容：</w:t>
      </w:r>
    </w:p>
    <w:p>
      <w:pPr>
        <w:pStyle w:val="4"/>
        <w:tabs>
          <w:tab w:val="left" w:pos="1134"/>
          <w:tab w:val="left" w:pos="1276"/>
        </w:tabs>
        <w:ind w:left="602"/>
        <w:rPr>
          <w:rFonts w:hint="eastAsia" w:ascii="仿宋" w:hAnsi="仿宋" w:eastAsia="仿宋"/>
          <w:b/>
          <w:color w:val="auto"/>
          <w:sz w:val="32"/>
          <w:szCs w:val="32"/>
        </w:rPr>
      </w:pPr>
      <w:r>
        <w:rPr>
          <w:rFonts w:hint="eastAsia" w:ascii="仿宋" w:hAnsi="仿宋" w:eastAsia="仿宋"/>
          <w:b/>
          <w:color w:val="auto"/>
          <w:sz w:val="32"/>
          <w:szCs w:val="32"/>
        </w:rPr>
        <w:t>（一）VOCs管控思路、排放限值及技术选择；</w:t>
      </w:r>
    </w:p>
    <w:p>
      <w:pPr>
        <w:pStyle w:val="4"/>
        <w:tabs>
          <w:tab w:val="left" w:pos="1134"/>
          <w:tab w:val="left" w:pos="1276"/>
        </w:tabs>
        <w:ind w:left="602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（1）“十三五”期间VOCs污染减排情况及下一步工作任务；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left="6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（2）VOCs排放标准、限值及（吸附、RCO</w:t>
      </w:r>
      <w:r>
        <w:rPr>
          <w:rFonts w:ascii="仿宋" w:hAnsi="仿宋" w:eastAsia="仿宋"/>
          <w:color w:val="auto"/>
          <w:sz w:val="32"/>
          <w:szCs w:val="32"/>
        </w:rPr>
        <w:t>）</w:t>
      </w:r>
      <w:r>
        <w:rPr>
          <w:rFonts w:hint="eastAsia" w:ascii="仿宋" w:hAnsi="仿宋" w:eastAsia="仿宋"/>
          <w:color w:val="auto"/>
          <w:sz w:val="32"/>
          <w:szCs w:val="32"/>
        </w:rPr>
        <w:t>技术规范解读；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left="6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 xml:space="preserve">（3）VOCs污染治理技术进展及其选择原则; 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left="6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（4）高精度VOC清单及一企一策；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left="6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（5）“分散收集,集中治理”—VOCs治理新模式；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left="6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（6）工业园区VOCs的综合防治解决方案。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1134"/>
        </w:tabs>
        <w:ind w:left="600"/>
        <w:rPr>
          <w:rFonts w:hint="eastAsia" w:ascii="仿宋" w:hAnsi="仿宋" w:eastAsia="仿宋"/>
          <w:b/>
          <w:color w:val="00B050"/>
          <w:sz w:val="32"/>
          <w:szCs w:val="32"/>
        </w:rPr>
      </w:pPr>
      <w:r>
        <w:rPr>
          <w:rFonts w:hint="eastAsia" w:ascii="仿宋" w:hAnsi="仿宋" w:eastAsia="仿宋"/>
          <w:b/>
          <w:color w:val="auto"/>
          <w:sz w:val="32"/>
          <w:szCs w:val="32"/>
        </w:rPr>
        <w:t>（二）污染源核算、监测与检测；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left="6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（1）VOCs污染源排查及排放量核算的关键点；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left="6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（2）VOCs废气检测的设备选型及采样分析的要点；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left="6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（3）VOCs在线监测系统的选型及其技术要点。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left="600"/>
        <w:rPr>
          <w:rFonts w:hint="eastAsia" w:ascii="仿宋" w:hAnsi="仿宋" w:eastAsia="仿宋"/>
          <w:b/>
          <w:color w:val="auto"/>
          <w:sz w:val="32"/>
          <w:szCs w:val="32"/>
        </w:rPr>
      </w:pPr>
      <w:r>
        <w:rPr>
          <w:rFonts w:hint="eastAsia" w:ascii="仿宋" w:hAnsi="仿宋" w:eastAsia="仿宋"/>
          <w:b/>
          <w:color w:val="auto"/>
          <w:sz w:val="32"/>
          <w:szCs w:val="32"/>
        </w:rPr>
        <w:t>（三）源头和过程控制VOCs方法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left="6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（1）VOCs的逸散控制技术（密闭加盖、收集方法和回收等）；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left="6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（2）清洁生产技术改造；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left="6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（3）原料替代（油改水、无溶剂复合技术等）；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left="6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（4）LDAR（泄漏检测与修复）技术。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left="600"/>
        <w:rPr>
          <w:rFonts w:hint="eastAsia" w:ascii="仿宋" w:hAnsi="仿宋" w:eastAsia="仿宋"/>
          <w:b/>
          <w:color w:val="auto"/>
          <w:sz w:val="32"/>
          <w:szCs w:val="32"/>
        </w:rPr>
      </w:pPr>
      <w:r>
        <w:rPr>
          <w:rFonts w:hint="eastAsia" w:ascii="仿宋" w:hAnsi="仿宋" w:eastAsia="仿宋"/>
          <w:b/>
          <w:color w:val="auto"/>
          <w:sz w:val="32"/>
          <w:szCs w:val="32"/>
        </w:rPr>
        <w:t>（四）VOCs废气净化的工艺、设计及关键点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left="6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（1）前预处理（调温、调湿、调压和去除颗粒物）的关键点。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1134"/>
        </w:tabs>
        <w:ind w:left="6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（2）车间通风设计与VOCs废气收集的关键点;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left="284" w:firstLine="160" w:firstLineChars="5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（侧重以集气罩、排风管、风机和烟囱等的相关设计工艺、捕集能力、性能参数及计算为授课点）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left="6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（3）VOCs治理设施防火防爆技术的关键点及安全评估；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left="6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（4）VOCs治理主流技术和工艺（组合）运用；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left="284" w:firstLine="160" w:firstLineChars="5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（侧重以RTO、RCO、吸附脱附、转轮等主流技术装备及组合工艺的运用，以及冷凝、吸收、膜分离等辅助性技术为授课点）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left="6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（5）吸附剂、催化剂、生物填料、蓄热材等材料的选型应用；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firstLine="640" w:firstLineChars="2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（6）VOCs常压下洗涤塔的选择，设计与实践；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firstLine="640" w:firstLineChars="2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（7）有机溶剂回收及资源化再利用工艺；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firstLine="640" w:firstLineChars="2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（8）VOCs治理工程达标评估（验收）要点；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left="790" w:leftChars="300" w:hanging="160" w:hangingChars="5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（侧重以设施运行、治理效果、运行管理和验收等为授课要点）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  <w:tab w:val="left" w:pos="1134"/>
          <w:tab w:val="left" w:pos="1418"/>
        </w:tabs>
        <w:ind w:left="600"/>
        <w:rPr>
          <w:rFonts w:hint="eastAsia" w:ascii="仿宋" w:hAnsi="仿宋" w:eastAsia="仿宋"/>
          <w:b/>
          <w:color w:val="auto"/>
          <w:sz w:val="32"/>
          <w:szCs w:val="32"/>
        </w:rPr>
      </w:pPr>
      <w:r>
        <w:rPr>
          <w:rFonts w:hint="eastAsia" w:ascii="仿宋" w:hAnsi="仿宋" w:eastAsia="仿宋"/>
          <w:b/>
          <w:color w:val="auto"/>
          <w:sz w:val="32"/>
          <w:szCs w:val="32"/>
        </w:rPr>
        <w:t>（五）重点行业VOCs排放特征及控制技术；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  <w:tab w:val="left" w:pos="1134"/>
          <w:tab w:val="left" w:pos="1418"/>
        </w:tabs>
        <w:ind w:left="6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（1）制药行业VOCs与恶臭污染特征及控制技术；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  <w:tab w:val="left" w:pos="1134"/>
          <w:tab w:val="left" w:pos="1418"/>
        </w:tabs>
        <w:ind w:left="6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（2）石化生产VOCs排放特征、设备泄漏管控及控制技术；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  <w:tab w:val="left" w:pos="1134"/>
          <w:tab w:val="left" w:pos="1418"/>
        </w:tabs>
        <w:ind w:left="6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（3）工业涂装VOCs产排特征及其减排途径；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  <w:tab w:val="left" w:pos="1134"/>
          <w:tab w:val="left" w:pos="1418"/>
        </w:tabs>
        <w:ind w:left="6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（4）家具制造的典型生产流程，VOCs排放节点及控制技术；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  <w:tab w:val="left" w:pos="1134"/>
          <w:tab w:val="left" w:pos="1418"/>
        </w:tabs>
        <w:ind w:left="6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（5）炼焦工业的典型生产流程，VOCs排放节点及控制技术；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  <w:tab w:val="left" w:pos="1134"/>
          <w:tab w:val="left" w:pos="1418"/>
        </w:tabs>
        <w:ind w:firstLine="960" w:firstLineChars="3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——以及汽修、石化、印刷、印染和电子等其他重点行业。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  <w:tab w:val="left" w:pos="1134"/>
          <w:tab w:val="left" w:pos="1418"/>
        </w:tabs>
        <w:ind w:left="600"/>
        <w:rPr>
          <w:rFonts w:hint="eastAsia" w:ascii="仿宋" w:hAnsi="仿宋" w:eastAsia="仿宋"/>
          <w:b/>
          <w:color w:val="auto"/>
          <w:sz w:val="32"/>
          <w:szCs w:val="32"/>
        </w:rPr>
      </w:pPr>
      <w:r>
        <w:rPr>
          <w:rFonts w:hint="eastAsia" w:ascii="仿宋" w:hAnsi="仿宋" w:eastAsia="仿宋"/>
          <w:b/>
          <w:color w:val="auto"/>
          <w:sz w:val="32"/>
          <w:szCs w:val="32"/>
        </w:rPr>
        <w:t>（六）互动教学环节</w:t>
      </w:r>
      <w:r>
        <w:rPr>
          <w:rFonts w:hint="eastAsia" w:ascii="仿宋" w:hAnsi="仿宋" w:eastAsia="仿宋"/>
          <w:color w:val="auto"/>
          <w:sz w:val="32"/>
          <w:szCs w:val="32"/>
        </w:rPr>
        <w:t>（经验交流、疑难问题解答）</w:t>
      </w:r>
    </w:p>
    <w:p>
      <w:pPr>
        <w:pStyle w:val="4"/>
        <w:tabs>
          <w:tab w:val="left" w:pos="142"/>
          <w:tab w:val="left" w:pos="426"/>
          <w:tab w:val="left" w:pos="709"/>
          <w:tab w:val="left" w:pos="851"/>
          <w:tab w:val="left" w:pos="993"/>
        </w:tabs>
        <w:ind w:left="447" w:leftChars="213" w:firstLine="480" w:firstLineChars="15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本环节组织专家与学员互动（提问）交流，以VOCs污染防治疑难问题为切入点进行现场互动、案例分析、专家点评。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A7687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Arial" w:hAnsi="Arial" w:eastAsia="宋体" w:cs="Arial"/>
      <w:color w:val="666666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Default"/>
    <w:uiPriority w:val="0"/>
    <w:pPr>
      <w:widowControl w:val="0"/>
      <w:autoSpaceDE w:val="0"/>
      <w:autoSpaceDN w:val="0"/>
      <w:adjustRightInd w:val="0"/>
    </w:pPr>
    <w:rPr>
      <w:rFonts w:ascii="微软雅黑" w:cs="微软雅黑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随延赵</cp:lastModifiedBy>
  <dcterms:modified xsi:type="dcterms:W3CDTF">2018-04-17T09:14:07Z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2052-10.1.0.7223</vt:lpwstr>
  </property>
</Properties>
</file>